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928" w:dyaOrig="14022">
          <v:rect xmlns:o="urn:schemas-microsoft-com:office:office" xmlns:v="urn:schemas-microsoft-com:vml" id="rectole0000000000" style="width:496.400000pt;height:701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Настоящее решение вступает в силу после его официального опубликования.</w:t>
      </w:r>
    </w:p>
    <w:p>
      <w:pPr>
        <w:spacing w:before="0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Настоящее решение направить на государственную регистрацию в порядке, предусмотренном Федеральным законом от 21 июля 2005 года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97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государственной регистрации уставов муниципальных образований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Поручить Администрации Анастасьевского сельского поселения обеспечить официальное опубликование настоящего решения после его государственной регистрации.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Председатель Совета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Анастасьевского сельского поселения        </w:t>
        <w:tab/>
        <w:tab/>
        <w:tab/>
        <w:t xml:space="preserve">С.В. Бетмакаев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Глава администрации</w:t>
      </w:r>
    </w:p>
    <w:p>
      <w:pPr>
        <w:tabs>
          <w:tab w:val="left" w:pos="715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Анастасьевского сельского поселения</w:t>
        <w:tab/>
        <w:t xml:space="preserve">О.Р. Чаптарова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